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788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8"/>
      </w:tblGrid>
      <w:tr>
        <w:trPr/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Default"/>
              <w:bidi w:val="0"/>
              <w:snapToGrid w:val="false"/>
              <w:jc w:val="center"/>
              <w:rPr>
                <w:b/>
                <w:b/>
                <w:bCs/>
                <w:i/>
                <w:i/>
                <w:iCs/>
                <w:color w:val="000000"/>
                <w:sz w:val="32"/>
                <w:szCs w:val="32"/>
              </w:rPr>
            </w:pPr>
            <w:r>
              <w:rPr>
                <w:b/>
                <w:bCs/>
                <w:i/>
                <w:iCs/>
                <w:color w:val="000000"/>
                <w:sz w:val="32"/>
                <w:szCs w:val="32"/>
              </w:rPr>
            </w:r>
          </w:p>
          <w:p>
            <w:pPr>
              <w:pStyle w:val="Default"/>
              <w:bidi w:val="0"/>
              <w:jc w:val="center"/>
              <w:rPr>
                <w:i/>
                <w:i/>
                <w:iCs/>
                <w:color w:val="000000"/>
                <w:sz w:val="32"/>
                <w:szCs w:val="32"/>
              </w:rPr>
            </w:pPr>
            <w:r>
              <w:rPr>
                <w:b/>
                <w:bCs/>
                <w:i/>
                <w:iCs/>
                <w:color w:val="000000"/>
                <w:sz w:val="32"/>
                <w:szCs w:val="32"/>
              </w:rPr>
              <w:t xml:space="preserve">ELENCO </w:t>
            </w:r>
            <w:r>
              <w:rPr>
                <w:i/>
                <w:iCs/>
                <w:color w:val="000000"/>
                <w:sz w:val="32"/>
                <w:szCs w:val="32"/>
              </w:rPr>
              <w:t xml:space="preserve">del </w:t>
            </w:r>
            <w:r>
              <w:rPr>
                <w:b/>
                <w:bCs/>
                <w:i/>
                <w:iCs/>
                <w:color w:val="000000"/>
                <w:sz w:val="32"/>
                <w:szCs w:val="32"/>
              </w:rPr>
              <w:t xml:space="preserve">MATERIALE </w:t>
            </w:r>
            <w:r>
              <w:rPr>
                <w:i/>
                <w:iCs/>
                <w:color w:val="000000"/>
                <w:sz w:val="32"/>
                <w:szCs w:val="32"/>
              </w:rPr>
              <w:t xml:space="preserve">necessario per l’a.s.2020/2021– </w:t>
            </w:r>
          </w:p>
          <w:p>
            <w:pPr>
              <w:pStyle w:val="Default"/>
              <w:bidi w:val="0"/>
              <w:jc w:val="center"/>
              <w:rPr/>
            </w:pPr>
            <w:r>
              <w:rPr>
                <w:b/>
                <w:bCs/>
                <w:i/>
                <w:iCs/>
                <w:color w:val="000000"/>
                <w:sz w:val="32"/>
                <w:szCs w:val="32"/>
              </w:rPr>
              <w:t>classe 3^B</w:t>
            </w:r>
          </w:p>
          <w:p>
            <w:pPr>
              <w:pStyle w:val="Default"/>
              <w:bidi w:val="0"/>
              <w:jc w:val="center"/>
              <w:rPr>
                <w:b/>
                <w:b/>
                <w:bCs/>
                <w:i/>
                <w:i/>
                <w:iCs/>
                <w:color w:val="000000"/>
                <w:sz w:val="32"/>
                <w:szCs w:val="32"/>
              </w:rPr>
            </w:pPr>
            <w:r>
              <w:rPr>
                <w:b/>
                <w:bCs/>
                <w:i/>
                <w:iCs/>
                <w:color w:val="000000"/>
                <w:sz w:val="32"/>
                <w:szCs w:val="32"/>
              </w:rPr>
              <w:t>Scuola Primaria di Bricherasio</w:t>
            </w:r>
          </w:p>
        </w:tc>
      </w:tr>
      <w:tr>
        <w:trPr/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Paragrafoelenco"/>
              <w:snapToGrid w:val="false"/>
              <w:spacing w:lineRule="auto" w:line="240" w:before="0" w:after="0"/>
              <w:contextualSpacing/>
              <w:rPr>
                <w:b/>
                <w:b/>
                <w:bCs/>
                <w:i/>
                <w:i/>
                <w:iCs/>
                <w:color w:val="000000"/>
                <w:sz w:val="32"/>
                <w:szCs w:val="32"/>
              </w:rPr>
            </w:pPr>
            <w:r>
              <w:rPr>
                <w:b/>
                <w:bCs/>
                <w:i/>
                <w:iCs/>
                <w:color w:val="000000"/>
                <w:sz w:val="32"/>
                <w:szCs w:val="32"/>
              </w:rPr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360" w:before="0" w:after="0"/>
              <w:ind w:left="714" w:hanging="357"/>
              <w:rPr/>
            </w:pPr>
            <w:r>
              <w:rPr>
                <w:sz w:val="28"/>
              </w:rPr>
              <w:t>1 quadernone a righe di 3° con i margini (per Italiano) + 1 di riserva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360" w:before="0" w:after="0"/>
              <w:ind w:left="714" w:hanging="357"/>
              <w:rPr>
                <w:sz w:val="28"/>
              </w:rPr>
            </w:pPr>
            <w:r>
              <w:rPr>
                <w:sz w:val="28"/>
              </w:rPr>
              <w:t xml:space="preserve">Riportare i quaderni di Lingua e di Scienze non finiti in seconda. 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360" w:before="0" w:after="0"/>
              <w:ind w:left="714" w:hanging="357"/>
              <w:rPr/>
            </w:pPr>
            <w:r>
              <w:rPr>
                <w:sz w:val="28"/>
              </w:rPr>
              <w:t>I quaderni di Inglese, Religione Cattolica (per chi si avvale) e Musica verranno continuati in 3°.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360" w:before="0" w:after="0"/>
              <w:ind w:left="714" w:hanging="357"/>
              <w:rPr>
                <w:sz w:val="28"/>
              </w:rPr>
            </w:pPr>
            <w:r>
              <w:rPr>
                <w:sz w:val="28"/>
              </w:rPr>
              <w:t>4 quadernoni a quadretti grandi (mezzo centimetro) con i margini</w:t>
            </w:r>
          </w:p>
          <w:p>
            <w:pPr>
              <w:pStyle w:val="Normal"/>
              <w:spacing w:lineRule="auto" w:line="360"/>
              <w:ind w:left="357" w:hanging="0"/>
              <w:rPr/>
            </w:pPr>
            <w:r>
              <w:rPr>
                <w:rFonts w:cs="Calibri"/>
                <w:sz w:val="28"/>
              </w:rPr>
              <w:t xml:space="preserve">     </w:t>
            </w:r>
            <w:r>
              <w:rPr>
                <w:sz w:val="28"/>
              </w:rPr>
              <w:t>(per Matematica,  Storia,  Geografia e  Scienze) + 1 di riserva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360" w:before="0" w:after="0"/>
              <w:ind w:left="714" w:hanging="357"/>
              <w:rPr>
                <w:sz w:val="28"/>
              </w:rPr>
            </w:pPr>
            <w:r>
              <w:rPr>
                <w:sz w:val="28"/>
              </w:rPr>
              <w:t>Per le copertine verranno mantenuti gli stessi colori. Da acquistare solo nel caso di copertine rovinate.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360" w:before="0" w:after="0"/>
              <w:ind w:left="714" w:hanging="357"/>
              <w:rPr>
                <w:sz w:val="28"/>
              </w:rPr>
            </w:pPr>
            <w:r>
              <w:rPr>
                <w:sz w:val="28"/>
              </w:rPr>
              <w:t>Per educazione all'immagine 24 matite colorate, 12 pennarelli a punta fine.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360" w:before="0" w:after="0"/>
              <w:ind w:left="714" w:hanging="357"/>
              <w:rPr>
                <w:sz w:val="28"/>
              </w:rPr>
            </w:pPr>
            <w:r>
              <w:rPr>
                <w:sz w:val="28"/>
              </w:rPr>
              <w:t>1 biro cancellabile di colore blu e 1 biro cancellabile di colore rosso.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360" w:before="0" w:after="0"/>
              <w:ind w:left="714" w:hanging="357"/>
              <w:rPr>
                <w:sz w:val="28"/>
              </w:rPr>
            </w:pPr>
            <w:r>
              <w:rPr>
                <w:sz w:val="28"/>
              </w:rPr>
              <w:t>l’astuccio, il righello, il compasso.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360" w:before="0" w:after="0"/>
              <w:ind w:left="714" w:hanging="357"/>
              <w:rPr>
                <w:sz w:val="28"/>
              </w:rPr>
            </w:pPr>
            <w:r>
              <w:rPr>
                <w:sz w:val="28"/>
              </w:rPr>
              <w:t>1 colla stick ( + una di riserva da conservare nello zaino).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360" w:before="0" w:after="0"/>
              <w:ind w:left="714" w:hanging="357"/>
              <w:rPr>
                <w:sz w:val="28"/>
              </w:rPr>
            </w:pPr>
            <w:r>
              <w:rPr>
                <w:sz w:val="28"/>
              </w:rPr>
              <w:t>1 paio di forbici con la punta arrotondata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360" w:before="0" w:after="0"/>
              <w:ind w:left="714" w:hanging="357"/>
              <w:rPr>
                <w:sz w:val="28"/>
              </w:rPr>
            </w:pPr>
            <w:r>
              <w:rPr>
                <w:sz w:val="28"/>
              </w:rPr>
              <w:t>1 sacchetto da appendere contenente le scarpe da ginnastica per la palestra</w:t>
            </w:r>
          </w:p>
          <w:p>
            <w:pPr>
              <w:pStyle w:val="Normal"/>
              <w:numPr>
                <w:ilvl w:val="0"/>
                <w:numId w:val="3"/>
              </w:numPr>
              <w:rPr>
                <w:sz w:val="28"/>
              </w:rPr>
            </w:pPr>
            <w:r>
              <w:rPr>
                <w:sz w:val="28"/>
              </w:rPr>
              <w:t>1 asciugamano da appendere e un bicchiere di plastica dura.</w:t>
            </w:r>
            <w:r>
              <w:rPr>
                <w:i/>
                <w:sz w:val="28"/>
                <w:u w:val="single"/>
              </w:rPr>
              <w:t xml:space="preserve"> Per chi usufruisce del servizio MENSA</w:t>
            </w:r>
            <w:r>
              <w:rPr>
                <w:sz w:val="28"/>
              </w:rPr>
              <w:t>: 1 sacchetto da appendere contenente spazzolino, dentifricio, bicchiere.</w:t>
            </w:r>
          </w:p>
          <w:p>
            <w:pPr>
              <w:pStyle w:val="Normal"/>
              <w:spacing w:before="0" w:after="200"/>
              <w:ind w:left="360" w:hanging="0"/>
              <w:jc w:val="both"/>
              <w:rPr>
                <w:sz w:val="28"/>
              </w:rPr>
            </w:pPr>
            <w:r>
              <w:rPr>
                <w:rFonts w:cs="Calibri"/>
                <w:sz w:val="28"/>
              </w:rPr>
              <w:t xml:space="preserve"> </w:t>
            </w:r>
            <w:r>
              <w:rPr>
                <w:sz w:val="28"/>
              </w:rPr>
              <w:t xml:space="preserve">Prenotare in cartoleria i volumi del libro </w:t>
            </w:r>
            <w:r>
              <w:rPr>
                <w:sz w:val="28"/>
                <w:u w:val="single"/>
              </w:rPr>
              <w:t>“E’ come.... un gioco</w:t>
            </w:r>
            <w:r>
              <w:rPr>
                <w:sz w:val="28"/>
              </w:rPr>
              <w:t xml:space="preserve"> ” previsti per la classe 3° e il libro di inglese </w:t>
            </w:r>
            <w:r>
              <w:rPr>
                <w:sz w:val="28"/>
                <w:u w:val="single"/>
              </w:rPr>
              <w:t>“The story garden”</w:t>
            </w:r>
            <w:r>
              <w:rPr>
                <w:sz w:val="28"/>
              </w:rPr>
              <w:t xml:space="preserve"> per la classe 3°.Riportare i libri di IRC ( “Luci di stelle”, “Il mio quaderno della creatività” e il Vangelo).Per chi fa Ed. Alternativa riportare il quaderno dello scorso anno.</w:t>
            </w:r>
            <w:r>
              <w:rPr/>
              <w:br/>
            </w:r>
            <w:r>
              <w:rPr>
                <w:sz w:val="28"/>
              </w:rPr>
              <w:t>Tutto il materiale deve essere contrassegnato con il nome e cognome   dell’alunno/a; i libri devono essere foderati ed etichettati.</w:t>
            </w:r>
          </w:p>
        </w:tc>
      </w:tr>
      <w:tr>
        <w:trPr/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Default"/>
              <w:numPr>
                <w:ilvl w:val="0"/>
                <w:numId w:val="3"/>
              </w:numPr>
              <w:bidi w:val="0"/>
              <w:jc w:val="left"/>
              <w:rPr>
                <w:rFonts w:ascii="Calibri" w:hAnsi="Calibri" w:cs="Calibri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cs="Calibri" w:ascii="Calibri" w:hAnsi="Calibri"/>
                <w:bCs/>
                <w:iCs/>
                <w:color w:val="000000"/>
                <w:sz w:val="28"/>
                <w:szCs w:val="28"/>
              </w:rPr>
              <w:t>Il DIARIO sarà come gli scorsi anni quello d’istituto e ciò varrà come da delibera d’istituto fino a revoca.</w:t>
            </w:r>
          </w:p>
        </w:tc>
      </w:tr>
    </w:tbl>
    <w:p>
      <w:pPr>
        <w:pStyle w:val="Default"/>
        <w:bidi w:val="0"/>
        <w:jc w:val="left"/>
        <w:rPr>
          <w:b/>
          <w:b/>
          <w:bCs/>
          <w:i/>
          <w:i/>
          <w:iCs/>
          <w:color w:val="000000"/>
          <w:sz w:val="32"/>
          <w:szCs w:val="32"/>
        </w:rPr>
      </w:pPr>
      <w:r>
        <w:rPr>
          <w:b/>
          <w:bCs/>
          <w:i/>
          <w:iCs/>
          <w:color w:val="000000"/>
          <w:sz w:val="32"/>
          <w:szCs w:val="32"/>
        </w:rPr>
      </w:r>
    </w:p>
    <w:p>
      <w:pPr>
        <w:pStyle w:val="Paragrafoelenco"/>
        <w:spacing w:before="0" w:after="200"/>
        <w:ind w:left="0" w:hanging="0"/>
        <w:contextualSpacing/>
        <w:rPr>
          <w:b/>
          <w:b/>
          <w:bCs/>
          <w:i/>
          <w:i/>
          <w:iCs/>
          <w:color w:val="000000"/>
          <w:sz w:val="32"/>
          <w:szCs w:val="32"/>
        </w:rPr>
      </w:pPr>
      <w:r>
        <w:rPr>
          <w:b/>
          <w:bCs/>
          <w:i/>
          <w:iCs/>
          <w:color w:val="000000"/>
          <w:sz w:val="32"/>
          <w:szCs w:val="32"/>
        </w:rPr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  <w:font w:name="Courier New">
    <w:charset w:val="00"/>
    <w:family w:val="modern"/>
    <w:pitch w:val="default"/>
  </w:font>
  <w:font w:name="Wingdings">
    <w:charset w:val="02"/>
    <w:family w:val="auto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rFonts w:cs="Symbol"/>
        <w:color w:val="00000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Symbol"/>
        <w:color w:val="00000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  <w:rFonts w:cs="Symbol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lineRule="auto" w:line="276" w:before="0" w:after="200"/>
    </w:pPr>
    <w:rPr>
      <w:rFonts w:ascii="Calibri" w:hAnsi="Calibri" w:eastAsia="Calibri" w:cs="Times New Roman"/>
      <w:color w:val="auto"/>
      <w:sz w:val="22"/>
      <w:szCs w:val="22"/>
      <w:lang w:val="it-IT" w:bidi="ar-SA" w:eastAsia="zh-CN"/>
    </w:rPr>
  </w:style>
  <w:style w:type="character" w:styleId="WW8Num1z0">
    <w:name w:val="WW8Num1z0"/>
    <w:qFormat/>
    <w:rPr>
      <w:rFonts w:ascii="Symbol" w:hAnsi="Symbol" w:cs="Symbol"/>
      <w:color w:val="00000A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1z3">
    <w:name w:val="WW8Num1z3"/>
    <w:qFormat/>
    <w:rPr>
      <w:rFonts w:ascii="Symbol" w:hAnsi="Symbol" w:cs="Symbol"/>
    </w:rPr>
  </w:style>
  <w:style w:type="character" w:styleId="WW8Num2z0">
    <w:name w:val="WW8Num2z0"/>
    <w:qFormat/>
    <w:rPr>
      <w:rFonts w:ascii="Symbol" w:hAnsi="Symbol" w:cs="Symbol"/>
      <w:color w:val="00000A"/>
      <w:sz w:val="28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3z0">
    <w:name w:val="WW8Num3z0"/>
    <w:qFormat/>
    <w:rPr>
      <w:rFonts w:ascii="Symbol" w:hAnsi="Symbol" w:cs="Symbol"/>
      <w:color w:val="00000A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0">
    <w:name w:val="WW8Num4z0"/>
    <w:qFormat/>
    <w:rPr>
      <w:rFonts w:ascii="Symbol" w:hAnsi="Symbol" w:cs="Symbol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5z0">
    <w:name w:val="WW8Num5z0"/>
    <w:qFormat/>
    <w:rPr>
      <w:rFonts w:ascii="Symbol" w:hAnsi="Symbol" w:cs="Symbol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6z0">
    <w:name w:val="WW8Num6z0"/>
    <w:qFormat/>
    <w:rPr>
      <w:rFonts w:ascii="Symbol" w:hAnsi="Symbol" w:cs="Symbol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>
      <w:rFonts w:ascii="Symbol" w:hAnsi="Symbol" w:cs="Symbol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10z0">
    <w:name w:val="WW8Num10z0"/>
    <w:qFormat/>
    <w:rPr>
      <w:rFonts w:ascii="Symbol" w:hAnsi="Symbol" w:cs="Symbo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1z0">
    <w:name w:val="WW8Num11z0"/>
    <w:qFormat/>
    <w:rPr>
      <w:rFonts w:ascii="Symbol" w:hAnsi="Symbol" w:cs="Symbol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Carpredefinitoparagrafo">
    <w:name w:val="Car. predefinito paragrafo"/>
    <w:qFormat/>
    <w:rPr/>
  </w:style>
  <w:style w:type="character" w:styleId="IntestazioneCarattere">
    <w:name w:val="Intestazione Carattere"/>
    <w:basedOn w:val="Carpredefinitoparagrafo"/>
    <w:qFormat/>
    <w:rPr>
      <w:sz w:val="22"/>
      <w:szCs w:val="22"/>
    </w:rPr>
  </w:style>
  <w:style w:type="character" w:styleId="PidipaginaCarattere">
    <w:name w:val="Piè di pagina Carattere"/>
    <w:basedOn w:val="Carpredefinitoparagrafo"/>
    <w:qFormat/>
    <w:rPr>
      <w:sz w:val="22"/>
      <w:szCs w:val="22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Paragrafoelenco">
    <w:name w:val="Paragrafo elenco"/>
    <w:basedOn w:val="Normal"/>
    <w:qFormat/>
    <w:pPr>
      <w:spacing w:before="0" w:after="200"/>
      <w:ind w:left="720" w:hanging="0"/>
      <w:contextualSpacing/>
    </w:pPr>
    <w:rPr/>
  </w:style>
  <w:style w:type="paragraph" w:styleId="Default">
    <w:name w:val="Default"/>
    <w:qFormat/>
    <w:pPr>
      <w:widowControl/>
      <w:autoSpaceDE w:val="false"/>
      <w:bidi w:val="0"/>
    </w:pPr>
    <w:rPr>
      <w:rFonts w:ascii="Times New Roman" w:hAnsi="Times New Roman" w:eastAsia="Times New Roman" w:cs="Times New Roman"/>
      <w:color w:val="000000"/>
      <w:sz w:val="24"/>
      <w:szCs w:val="24"/>
      <w:lang w:val="it-IT" w:bidi="ar-SA" w:eastAsia="zh-CN"/>
    </w:rPr>
  </w:style>
  <w:style w:type="paragraph" w:styleId="Paragrafoelenco1">
    <w:name w:val="Paragrafo elenco1"/>
    <w:qFormat/>
    <w:pPr>
      <w:widowControl/>
      <w:bidi w:val="0"/>
      <w:ind w:left="708" w:hanging="0"/>
    </w:pPr>
    <w:rPr>
      <w:rFonts w:ascii="Times New Roman" w:hAnsi="Times New Roman" w:eastAsia="Times New Roman" w:cs="Times New Roman"/>
      <w:color w:val="auto"/>
      <w:sz w:val="24"/>
      <w:szCs w:val="20"/>
      <w:lang w:val="it-IT" w:bidi="ar-SA" w:eastAsia="zh-CN"/>
    </w:rPr>
  </w:style>
  <w:style w:type="paragraph" w:styleId="Bodytext">
    <w:name w:val="Body text"/>
    <w:qFormat/>
    <w:pPr>
      <w:widowControl/>
      <w:bidi w:val="0"/>
      <w:jc w:val="both"/>
    </w:pPr>
    <w:rPr>
      <w:rFonts w:ascii="Times New Roman" w:hAnsi="Times New Roman" w:eastAsia="Times New Roman" w:cs="Times New Roman"/>
      <w:color w:val="auto"/>
      <w:sz w:val="24"/>
      <w:szCs w:val="20"/>
      <w:lang w:val="it-IT" w:bidi="ar-SA" w:eastAsia="zh-CN"/>
    </w:rPr>
  </w:style>
  <w:style w:type="paragraph" w:styleId="Intestazioneepidipagina">
    <w:name w:val="Intestazione e piè di pagin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Normal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LibreOffice/6.3.1.2$Windows_X86_64 LibreOffice_project/b79626edf0065ac373bd1df5c28bd630b4424273</Application>
  <Pages>2</Pages>
  <Words>282</Words>
  <Characters>1398</Characters>
  <CharactersWithSpaces>1662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2020-06-26T09:29:00Z</dcterms:created>
  <dc:creator>Utente</dc:creator>
  <dc:description/>
  <cp:keywords/>
  <dc:language>it-IT</dc:language>
  <cp:lastModifiedBy>utente</cp:lastModifiedBy>
  <dcterms:modified xsi:type="dcterms:W3CDTF">2020-06-27T08:55:00Z</dcterms:modified>
  <cp:revision>3</cp:revision>
  <dc:subject/>
  <dc:title/>
</cp:coreProperties>
</file>