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pBdr/>
        <w:spacing w:lineRule="auto" w:line="276"/>
        <w:rPr>
          <w:rFonts w:ascii="Arial" w:hAnsi="Arial" w:eastAsia="Arial" w:cs="Arial"/>
          <w:color w:val="000000"/>
          <w:sz w:val="22"/>
          <w:szCs w:val="22"/>
        </w:rPr>
      </w:pPr>
      <w:r>
        <w:rPr>
          <w:rFonts w:eastAsia="Arial" w:cs="Arial" w:ascii="Arial" w:hAnsi="Arial"/>
          <w:color w:val="000000"/>
          <w:sz w:val="22"/>
          <w:szCs w:val="22"/>
        </w:rPr>
      </w:r>
    </w:p>
    <w:tbl>
      <w:tblPr>
        <w:tblStyle w:val="a"/>
        <w:tblW w:w="9778" w:type="dxa"/>
        <w:jc w:val="left"/>
        <w:tblInd w:w="0" w:type="dxa"/>
        <w:tblCellMar>
          <w:top w:w="0" w:type="dxa"/>
          <w:left w:w="108" w:type="dxa"/>
          <w:bottom w:w="0" w:type="dxa"/>
          <w:right w:w="108" w:type="dxa"/>
        </w:tblCellMar>
        <w:tblLook w:firstRow="0" w:noVBand="0" w:lastRow="0" w:firstColumn="0" w:lastColumn="0" w:noHBand="0" w:val="0000"/>
      </w:tblPr>
      <w:tblGrid>
        <w:gridCol w:w="9778"/>
      </w:tblGrid>
      <w:tr>
        <w:trPr/>
        <w:tc>
          <w:tcPr>
            <w:tcW w:w="9778" w:type="dxa"/>
            <w:tcBorders>
              <w:top w:val="single" w:sz="4" w:space="0" w:color="000000"/>
              <w:left w:val="single" w:sz="4" w:space="0" w:color="000000"/>
              <w:bottom w:val="single" w:sz="4" w:space="0" w:color="000000"/>
              <w:right w:val="single" w:sz="4" w:space="0" w:color="000000"/>
            </w:tcBorders>
            <w:shd w:fill="auto" w:val="clear"/>
          </w:tcPr>
          <w:p>
            <w:pPr>
              <w:pStyle w:val="Normal"/>
              <w:pBdr/>
              <w:jc w:val="center"/>
              <w:rPr>
                <w:rFonts w:ascii="Times New Roman" w:hAnsi="Times New Roman" w:eastAsia="Times New Roman" w:cs="Times New Roman"/>
                <w:color w:val="000000"/>
                <w:sz w:val="32"/>
                <w:szCs w:val="32"/>
              </w:rPr>
            </w:pPr>
            <w:r>
              <w:rPr>
                <w:rFonts w:eastAsia="Times New Roman" w:cs="Times New Roman" w:ascii="Times New Roman" w:hAnsi="Times New Roman"/>
                <w:color w:val="000000"/>
                <w:sz w:val="32"/>
                <w:szCs w:val="32"/>
              </w:rPr>
            </w:r>
          </w:p>
          <w:p>
            <w:pPr>
              <w:pStyle w:val="Normal"/>
              <w:pBdr/>
              <w:jc w:val="center"/>
              <w:rPr>
                <w:rFonts w:ascii="Times New Roman" w:hAnsi="Times New Roman" w:eastAsia="Times New Roman" w:cs="Times New Roman"/>
                <w:color w:val="000000"/>
                <w:sz w:val="32"/>
                <w:szCs w:val="32"/>
              </w:rPr>
            </w:pPr>
            <w:r>
              <w:rPr>
                <w:rFonts w:eastAsia="Times New Roman" w:cs="Times New Roman" w:ascii="Times New Roman" w:hAnsi="Times New Roman"/>
                <w:b/>
                <w:i/>
                <w:color w:val="000000"/>
                <w:sz w:val="32"/>
                <w:szCs w:val="32"/>
              </w:rPr>
              <w:t xml:space="preserve">ELENCO </w:t>
            </w:r>
            <w:r>
              <w:rPr>
                <w:rFonts w:eastAsia="Times New Roman" w:cs="Times New Roman" w:ascii="Times New Roman" w:hAnsi="Times New Roman"/>
                <w:i/>
                <w:color w:val="000000"/>
                <w:sz w:val="32"/>
                <w:szCs w:val="32"/>
              </w:rPr>
              <w:t xml:space="preserve">del </w:t>
            </w:r>
            <w:r>
              <w:rPr>
                <w:rFonts w:eastAsia="Times New Roman" w:cs="Times New Roman" w:ascii="Times New Roman" w:hAnsi="Times New Roman"/>
                <w:b/>
                <w:i/>
                <w:color w:val="000000"/>
                <w:sz w:val="32"/>
                <w:szCs w:val="32"/>
              </w:rPr>
              <w:t xml:space="preserve">MATERIALE </w:t>
            </w:r>
            <w:r>
              <w:rPr>
                <w:rFonts w:eastAsia="Times New Roman" w:cs="Times New Roman" w:ascii="Times New Roman" w:hAnsi="Times New Roman"/>
                <w:i/>
                <w:color w:val="000000"/>
                <w:sz w:val="32"/>
                <w:szCs w:val="32"/>
              </w:rPr>
              <w:t xml:space="preserve">necessario per l’a.s. 2020/2021 – </w:t>
            </w:r>
            <w:r>
              <w:rPr>
                <w:rFonts w:eastAsia="Times New Roman" w:cs="Times New Roman" w:ascii="Times New Roman" w:hAnsi="Times New Roman"/>
                <w:b/>
                <w:i/>
                <w:color w:val="000000"/>
                <w:sz w:val="32"/>
                <w:szCs w:val="32"/>
              </w:rPr>
              <w:t>classe 4^B</w:t>
            </w:r>
          </w:p>
          <w:p>
            <w:pPr>
              <w:pStyle w:val="Normal"/>
              <w:pBdr/>
              <w:jc w:val="center"/>
              <w:rPr>
                <w:rFonts w:ascii="Times New Roman" w:hAnsi="Times New Roman" w:eastAsia="Times New Roman" w:cs="Times New Roman"/>
                <w:color w:val="000000"/>
                <w:sz w:val="32"/>
                <w:szCs w:val="32"/>
              </w:rPr>
            </w:pPr>
            <w:r>
              <w:rPr>
                <w:rFonts w:eastAsia="Times New Roman" w:cs="Times New Roman" w:ascii="Times New Roman" w:hAnsi="Times New Roman"/>
                <w:color w:val="000000"/>
                <w:sz w:val="32"/>
                <w:szCs w:val="32"/>
              </w:rPr>
            </w:r>
          </w:p>
          <w:p>
            <w:pPr>
              <w:pStyle w:val="Normal"/>
              <w:pBdr/>
              <w:jc w:val="center"/>
              <w:rPr>
                <w:rFonts w:ascii="Times New Roman" w:hAnsi="Times New Roman" w:eastAsia="Times New Roman" w:cs="Times New Roman"/>
                <w:color w:val="000000"/>
                <w:sz w:val="32"/>
                <w:szCs w:val="32"/>
              </w:rPr>
            </w:pPr>
            <w:r>
              <w:rPr>
                <w:rFonts w:eastAsia="Times New Roman" w:cs="Times New Roman" w:ascii="Times New Roman" w:hAnsi="Times New Roman"/>
                <w:b/>
                <w:i/>
                <w:color w:val="000000"/>
                <w:sz w:val="32"/>
                <w:szCs w:val="32"/>
              </w:rPr>
              <w:t>Scuola  Primaria  di  Bricherasio</w:t>
            </w:r>
          </w:p>
        </w:tc>
      </w:tr>
      <w:tr>
        <w:trPr/>
        <w:tc>
          <w:tcPr>
            <w:tcW w:w="9778" w:type="dxa"/>
            <w:tcBorders>
              <w:top w:val="single" w:sz="4" w:space="0" w:color="000000"/>
              <w:left w:val="single" w:sz="4" w:space="0" w:color="000000"/>
              <w:bottom w:val="single" w:sz="4" w:space="0" w:color="000000"/>
              <w:right w:val="single" w:sz="4" w:space="0" w:color="000000"/>
            </w:tcBorders>
            <w:shd w:fill="auto" w:val="clear"/>
          </w:tcPr>
          <w:p>
            <w:pPr>
              <w:pStyle w:val="Normal"/>
              <w:pBdr/>
              <w:rPr>
                <w:rFonts w:ascii="Times New Roman" w:hAnsi="Times New Roman" w:eastAsia="Times New Roman" w:cs="Times New Roman"/>
                <w:color w:val="000000"/>
                <w:sz w:val="32"/>
                <w:szCs w:val="32"/>
              </w:rPr>
            </w:pPr>
            <w:r>
              <w:rPr>
                <w:rFonts w:eastAsia="Times New Roman" w:cs="Times New Roman" w:ascii="Times New Roman" w:hAnsi="Times New Roman"/>
                <w:color w:val="000000"/>
                <w:sz w:val="32"/>
                <w:szCs w:val="32"/>
              </w:rPr>
            </w:r>
          </w:p>
          <w:p>
            <w:pPr>
              <w:pStyle w:val="Normal"/>
              <w:numPr>
                <w:ilvl w:val="0"/>
                <w:numId w:val="1"/>
              </w:numPr>
              <w:pBdr/>
              <w:spacing w:lineRule="auto" w:line="276"/>
              <w:rPr>
                <w:color w:val="000000"/>
                <w:sz w:val="28"/>
                <w:szCs w:val="28"/>
              </w:rPr>
            </w:pPr>
            <w:r>
              <w:rPr>
                <w:color w:val="000000"/>
                <w:sz w:val="28"/>
                <w:szCs w:val="28"/>
              </w:rPr>
              <w:t>5 quaderni grandi a righe di 5^ coi margini.</w:t>
            </w:r>
          </w:p>
          <w:p>
            <w:pPr>
              <w:pStyle w:val="Normal"/>
              <w:numPr>
                <w:ilvl w:val="0"/>
                <w:numId w:val="1"/>
              </w:numPr>
              <w:pBdr/>
              <w:spacing w:lineRule="auto" w:line="276"/>
              <w:rPr>
                <w:color w:val="000000"/>
                <w:sz w:val="28"/>
                <w:szCs w:val="28"/>
              </w:rPr>
            </w:pPr>
            <w:r>
              <w:rPr>
                <w:color w:val="000000"/>
                <w:sz w:val="28"/>
                <w:szCs w:val="28"/>
              </w:rPr>
              <w:t>5 quaderni grandi a quadretti  piccoli coi margini.</w:t>
            </w:r>
          </w:p>
          <w:p>
            <w:pPr>
              <w:pStyle w:val="Normal"/>
              <w:numPr>
                <w:ilvl w:val="0"/>
                <w:numId w:val="1"/>
              </w:numPr>
              <w:pBdr/>
              <w:spacing w:lineRule="auto" w:line="276"/>
              <w:rPr>
                <w:color w:val="000000"/>
                <w:sz w:val="28"/>
                <w:szCs w:val="28"/>
              </w:rPr>
            </w:pPr>
            <w:r>
              <w:rPr>
                <w:color w:val="000000"/>
                <w:sz w:val="28"/>
                <w:szCs w:val="28"/>
              </w:rPr>
              <w:t>Copertine per quaderni grandi: saranno mantenuti gli stessi colori di quest’anno.</w:t>
            </w:r>
          </w:p>
          <w:p>
            <w:pPr>
              <w:pStyle w:val="Normal"/>
              <w:numPr>
                <w:ilvl w:val="0"/>
                <w:numId w:val="1"/>
              </w:numPr>
              <w:pBdr/>
              <w:spacing w:lineRule="auto" w:line="276"/>
              <w:rPr>
                <w:color w:val="000000"/>
                <w:sz w:val="28"/>
                <w:szCs w:val="28"/>
              </w:rPr>
            </w:pPr>
            <w:r>
              <w:rPr>
                <w:color w:val="000000"/>
                <w:sz w:val="28"/>
                <w:szCs w:val="28"/>
              </w:rPr>
              <w:t>Il diario sarà come gli scorsi anni quello d’istituto e ciò varrà come da delibera d’istituto fino a revoca.</w:t>
            </w:r>
            <w:bookmarkStart w:id="0" w:name="_GoBack"/>
            <w:bookmarkEnd w:id="0"/>
          </w:p>
          <w:p>
            <w:pPr>
              <w:pStyle w:val="Normal"/>
              <w:numPr>
                <w:ilvl w:val="0"/>
                <w:numId w:val="1"/>
              </w:numPr>
              <w:pBdr/>
              <w:spacing w:lineRule="auto" w:line="276"/>
              <w:rPr>
                <w:color w:val="000000"/>
                <w:sz w:val="28"/>
                <w:szCs w:val="28"/>
              </w:rPr>
            </w:pPr>
            <w:r>
              <w:rPr>
                <w:color w:val="000000"/>
                <w:sz w:val="28"/>
                <w:szCs w:val="28"/>
              </w:rPr>
              <w:t>Portapenne con tutto il necessario per scrivere, disegnare, colorare, incollare, ritagliare…</w:t>
            </w:r>
          </w:p>
          <w:p>
            <w:pPr>
              <w:pStyle w:val="Normal"/>
              <w:numPr>
                <w:ilvl w:val="0"/>
                <w:numId w:val="1"/>
              </w:numPr>
              <w:pBdr/>
              <w:spacing w:lineRule="auto" w:line="276"/>
              <w:rPr>
                <w:color w:val="000000"/>
                <w:sz w:val="28"/>
                <w:szCs w:val="28"/>
              </w:rPr>
            </w:pPr>
            <w:r>
              <w:rPr>
                <w:color w:val="000000"/>
                <w:sz w:val="28"/>
                <w:szCs w:val="28"/>
              </w:rPr>
              <w:t>Un righello da 30 cm e un righello da 15 cm.</w:t>
            </w:r>
          </w:p>
          <w:p>
            <w:pPr>
              <w:pStyle w:val="Normal"/>
              <w:numPr>
                <w:ilvl w:val="0"/>
                <w:numId w:val="1"/>
              </w:numPr>
              <w:pBdr/>
              <w:spacing w:lineRule="auto" w:line="276"/>
              <w:rPr>
                <w:color w:val="000000"/>
                <w:sz w:val="28"/>
                <w:szCs w:val="28"/>
              </w:rPr>
            </w:pPr>
            <w:r>
              <w:rPr>
                <w:color w:val="000000"/>
                <w:sz w:val="28"/>
                <w:szCs w:val="28"/>
              </w:rPr>
              <w:t>Una squadra grande e una piccola da portapenne.</w:t>
            </w:r>
          </w:p>
          <w:p>
            <w:pPr>
              <w:pStyle w:val="Normal"/>
              <w:numPr>
                <w:ilvl w:val="0"/>
                <w:numId w:val="1"/>
              </w:numPr>
              <w:pBdr/>
              <w:spacing w:lineRule="auto" w:line="276"/>
              <w:rPr>
                <w:color w:val="000000"/>
                <w:sz w:val="28"/>
                <w:szCs w:val="28"/>
              </w:rPr>
            </w:pPr>
            <w:r>
              <w:rPr>
                <w:color w:val="000000"/>
                <w:sz w:val="28"/>
                <w:szCs w:val="28"/>
              </w:rPr>
              <w:t>Compasso</w:t>
            </w:r>
          </w:p>
          <w:p>
            <w:pPr>
              <w:pStyle w:val="Normal"/>
              <w:numPr>
                <w:ilvl w:val="0"/>
                <w:numId w:val="1"/>
              </w:numPr>
              <w:pBdr/>
              <w:spacing w:lineRule="auto" w:line="276"/>
              <w:rPr>
                <w:color w:val="000000"/>
                <w:sz w:val="28"/>
                <w:szCs w:val="28"/>
              </w:rPr>
            </w:pPr>
            <w:r>
              <w:rPr>
                <w:color w:val="000000"/>
                <w:sz w:val="28"/>
                <w:szCs w:val="28"/>
              </w:rPr>
              <w:t>Fazzoletto di stoffa e fazzoletti di carta.</w:t>
            </w:r>
          </w:p>
          <w:p>
            <w:pPr>
              <w:pStyle w:val="Normal"/>
              <w:numPr>
                <w:ilvl w:val="0"/>
                <w:numId w:val="1"/>
              </w:numPr>
              <w:pBdr/>
              <w:spacing w:lineRule="auto" w:line="276"/>
              <w:rPr>
                <w:color w:val="000000"/>
                <w:sz w:val="28"/>
                <w:szCs w:val="28"/>
              </w:rPr>
            </w:pPr>
            <w:r>
              <w:rPr>
                <w:color w:val="000000"/>
                <w:sz w:val="28"/>
                <w:szCs w:val="28"/>
              </w:rPr>
              <w:t>Sacchetto con: asciugamano, tovaglietta, cucchiaino, bicchiere di plastica.</w:t>
            </w:r>
          </w:p>
          <w:p>
            <w:pPr>
              <w:pStyle w:val="Normal"/>
              <w:numPr>
                <w:ilvl w:val="0"/>
                <w:numId w:val="1"/>
              </w:numPr>
              <w:pBdr/>
              <w:spacing w:lineRule="auto" w:line="276"/>
              <w:rPr>
                <w:color w:val="000000"/>
                <w:sz w:val="28"/>
                <w:szCs w:val="28"/>
              </w:rPr>
            </w:pPr>
            <w:r>
              <w:rPr>
                <w:color w:val="000000"/>
                <w:sz w:val="28"/>
                <w:szCs w:val="28"/>
              </w:rPr>
              <w:t>Bustina con spazzolino e dentifricio.</w:t>
            </w:r>
          </w:p>
          <w:p>
            <w:pPr>
              <w:pStyle w:val="Normal"/>
              <w:numPr>
                <w:ilvl w:val="0"/>
                <w:numId w:val="1"/>
              </w:numPr>
              <w:pBdr/>
              <w:rPr>
                <w:color w:val="000000"/>
                <w:sz w:val="28"/>
                <w:szCs w:val="28"/>
              </w:rPr>
            </w:pPr>
            <w:r>
              <w:rPr>
                <w:color w:val="000000"/>
                <w:sz w:val="28"/>
                <w:szCs w:val="28"/>
              </w:rPr>
              <w:t xml:space="preserve">1 sacchetto da appendere contenente le scarpe da ginnastica per la palestra </w:t>
            </w:r>
          </w:p>
          <w:p>
            <w:pPr>
              <w:pStyle w:val="Normal"/>
              <w:pBdr/>
              <w:spacing w:lineRule="auto" w:line="360"/>
              <w:ind w:left="357" w:hanging="0"/>
              <w:rPr>
                <w:color w:val="000000"/>
                <w:sz w:val="28"/>
                <w:szCs w:val="28"/>
              </w:rPr>
            </w:pPr>
            <w:r>
              <w:rPr>
                <w:color w:val="000000"/>
                <w:sz w:val="28"/>
                <w:szCs w:val="28"/>
              </w:rPr>
              <w:t xml:space="preserve">     </w:t>
            </w:r>
            <w:r>
              <w:rPr>
                <w:color w:val="000000"/>
                <w:sz w:val="28"/>
                <w:szCs w:val="28"/>
              </w:rPr>
              <w:t>(ed eventualmente 1 maglietta di ricambio).</w:t>
            </w:r>
          </w:p>
          <w:p>
            <w:pPr>
              <w:pStyle w:val="Normal"/>
              <w:pBdr/>
              <w:jc w:val="both"/>
              <w:rPr>
                <w:color w:val="000000"/>
                <w:sz w:val="28"/>
                <w:szCs w:val="28"/>
              </w:rPr>
            </w:pPr>
            <w:r>
              <w:rPr>
                <w:color w:val="000000"/>
                <w:sz w:val="28"/>
                <w:szCs w:val="28"/>
              </w:rPr>
              <w:t>Tutto il materiale deve essere contrassegnato con il nome e cognome dell’alunno/a;</w:t>
            </w:r>
          </w:p>
          <w:p>
            <w:pPr>
              <w:pStyle w:val="Normal"/>
              <w:pBdr/>
              <w:rPr>
                <w:color w:val="000000"/>
                <w:sz w:val="28"/>
                <w:szCs w:val="28"/>
              </w:rPr>
            </w:pPr>
            <w:r>
              <w:rPr>
                <w:color w:val="000000"/>
                <w:sz w:val="28"/>
                <w:szCs w:val="28"/>
              </w:rPr>
              <w:t xml:space="preserve">     </w:t>
            </w:r>
            <w:r>
              <w:rPr>
                <w:color w:val="000000"/>
                <w:sz w:val="28"/>
                <w:szCs w:val="28"/>
              </w:rPr>
              <w:t>i libri devono essere foderati ed etichettati.</w:t>
            </w:r>
          </w:p>
          <w:p>
            <w:pPr>
              <w:pStyle w:val="Normal"/>
              <w:pBdr/>
              <w:spacing w:lineRule="auto" w:line="276"/>
              <w:ind w:left="720" w:hanging="0"/>
              <w:rPr>
                <w:color w:val="000000"/>
                <w:sz w:val="28"/>
                <w:szCs w:val="28"/>
              </w:rPr>
            </w:pPr>
            <w:r>
              <w:rPr>
                <w:color w:val="000000"/>
                <w:sz w:val="28"/>
                <w:szCs w:val="28"/>
              </w:rPr>
            </w:r>
          </w:p>
          <w:p>
            <w:pPr>
              <w:pStyle w:val="Normal"/>
              <w:pBdr/>
              <w:spacing w:lineRule="auto" w:line="276"/>
              <w:rPr>
                <w:color w:val="000000"/>
                <w:sz w:val="28"/>
                <w:szCs w:val="28"/>
              </w:rPr>
            </w:pPr>
            <w:r>
              <w:rPr>
                <w:color w:val="000000"/>
                <w:sz w:val="28"/>
                <w:szCs w:val="28"/>
              </w:rPr>
              <w:t>Il quaderno di musica e i quaderni di inglese dovra</w:t>
            </w:r>
            <w:r>
              <w:rPr>
                <w:sz w:val="28"/>
                <w:szCs w:val="28"/>
              </w:rPr>
              <w:t xml:space="preserve">nno </w:t>
            </w:r>
            <w:r>
              <w:rPr>
                <w:color w:val="000000"/>
                <w:sz w:val="28"/>
                <w:szCs w:val="28"/>
              </w:rPr>
              <w:t>essere riportat</w:t>
            </w:r>
            <w:r>
              <w:rPr>
                <w:sz w:val="28"/>
                <w:szCs w:val="28"/>
              </w:rPr>
              <w:t>i</w:t>
            </w:r>
            <w:r>
              <w:rPr>
                <w:color w:val="000000"/>
                <w:sz w:val="28"/>
                <w:szCs w:val="28"/>
              </w:rPr>
              <w:t xml:space="preserve"> a  scuola per continuare le attività il prossimo anno scolastico. La cartellina dei disegni, svuotata del contenuto, va  riportata il prossimo anno così come le copertine colorate dei quaderni, dopo una loro accurata pulizia con alcool. </w:t>
            </w:r>
          </w:p>
          <w:p>
            <w:pPr>
              <w:pStyle w:val="Normal"/>
              <w:pBdr/>
              <w:spacing w:lineRule="auto" w:line="276"/>
              <w:rPr>
                <w:color w:val="000000"/>
                <w:sz w:val="28"/>
                <w:szCs w:val="28"/>
              </w:rPr>
            </w:pPr>
            <w:r>
              <w:rPr>
                <w:color w:val="000000"/>
                <w:sz w:val="28"/>
                <w:szCs w:val="28"/>
              </w:rPr>
            </w:r>
          </w:p>
          <w:p>
            <w:pPr>
              <w:pStyle w:val="Normal"/>
              <w:pBdr/>
              <w:spacing w:before="240" w:after="0"/>
              <w:rPr>
                <w:rFonts w:ascii="Times New Roman" w:hAnsi="Times New Roman" w:eastAsia="Times New Roman" w:cs="Times New Roman"/>
                <w:color w:val="000000"/>
                <w:sz w:val="32"/>
                <w:szCs w:val="32"/>
              </w:rPr>
            </w:pPr>
            <w:r>
              <w:rPr>
                <w:rFonts w:eastAsia="Times New Roman" w:cs="Times New Roman" w:ascii="Times New Roman" w:hAnsi="Times New Roman"/>
                <w:color w:val="000000"/>
                <w:sz w:val="32"/>
                <w:szCs w:val="32"/>
              </w:rPr>
              <w:t>Prenotare con sufficiente anticipo i seguenti testi:</w:t>
            </w:r>
          </w:p>
          <w:p>
            <w:pPr>
              <w:pStyle w:val="Normal"/>
              <w:pBdr/>
              <w:rPr>
                <w:rFonts w:ascii="Times New Roman" w:hAnsi="Times New Roman" w:eastAsia="Times New Roman" w:cs="Times New Roman"/>
                <w:color w:val="000000"/>
              </w:rPr>
            </w:pP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z w:val="28"/>
                <w:szCs w:val="28"/>
              </w:rPr>
              <w:t>Sussidiario dei linguaggi” AA.VV- Gaia Editore</w:t>
            </w:r>
            <w:r>
              <w:rPr>
                <w:rFonts w:eastAsia="Times New Roman" w:cs="Times New Roman" w:ascii="Times New Roman" w:hAnsi="Times New Roman"/>
                <w:color w:val="000000"/>
                <w:sz w:val="32"/>
                <w:szCs w:val="32"/>
              </w:rPr>
              <w:t xml:space="preserve"> </w:t>
            </w:r>
            <w:r>
              <w:rPr>
                <w:rFonts w:eastAsia="Times New Roman" w:cs="Times New Roman" w:ascii="Times New Roman" w:hAnsi="Times New Roman"/>
                <w:color w:val="000000"/>
              </w:rPr>
              <w:t>(ISBN 9788873347620)</w:t>
            </w:r>
          </w:p>
          <w:p>
            <w:pPr>
              <w:pStyle w:val="Normal"/>
              <w:pBdr/>
              <w:rPr>
                <w:rFonts w:ascii="Times New Roman" w:hAnsi="Times New Roman" w:eastAsia="Times New Roman" w:cs="Times New Roman"/>
                <w:color w:val="000000"/>
                <w:sz w:val="32"/>
                <w:szCs w:val="32"/>
              </w:rPr>
            </w:pP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z w:val="28"/>
                <w:szCs w:val="28"/>
              </w:rPr>
              <w:t>Sussidiario delle discipline”AA.VV- Gaia Editore intero progetto (</w:t>
            </w:r>
            <w:r>
              <w:rPr>
                <w:rFonts w:eastAsia="Times New Roman" w:cs="Times New Roman" w:ascii="Times New Roman" w:hAnsi="Times New Roman"/>
                <w:color w:val="000000"/>
              </w:rPr>
              <w:t>ISBN 9788873347569</w:t>
            </w:r>
            <w:r>
              <w:rPr>
                <w:rFonts w:eastAsia="Times New Roman" w:cs="Times New Roman" w:ascii="Times New Roman" w:hAnsi="Times New Roman"/>
                <w:color w:val="000000"/>
                <w:sz w:val="28"/>
                <w:szCs w:val="28"/>
              </w:rPr>
              <w:t>)</w:t>
            </w:r>
          </w:p>
          <w:p>
            <w:pPr>
              <w:pStyle w:val="Normal"/>
              <w:pBdr/>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lang w:val="en-GB"/>
              </w:rPr>
              <w:t xml:space="preserve">Inglese “The Story Garden 4” AAVV- Ed. </w:t>
            </w:r>
            <w:r>
              <w:rPr>
                <w:rFonts w:eastAsia="Times New Roman" w:cs="Times New Roman" w:ascii="Times New Roman" w:hAnsi="Times New Roman"/>
                <w:color w:val="000000"/>
                <w:sz w:val="28"/>
                <w:szCs w:val="28"/>
              </w:rPr>
              <w:t>Eli 2017</w:t>
            </w:r>
            <w:r>
              <w:rPr>
                <w:rFonts w:eastAsia="Times New Roman" w:cs="Times New Roman" w:ascii="Times New Roman" w:hAnsi="Times New Roman"/>
                <w:color w:val="000000"/>
                <w:sz w:val="32"/>
                <w:szCs w:val="32"/>
              </w:rPr>
              <w:t xml:space="preserve"> (</w:t>
            </w:r>
            <w:r>
              <w:rPr>
                <w:rFonts w:eastAsia="Times New Roman" w:cs="Times New Roman" w:ascii="Times New Roman" w:hAnsi="Times New Roman"/>
                <w:color w:val="000000"/>
              </w:rPr>
              <w:t>ISBN 978-8853623928</w:t>
            </w:r>
            <w:r>
              <w:rPr>
                <w:rFonts w:eastAsia="Times New Roman" w:cs="Times New Roman" w:ascii="Times New Roman" w:hAnsi="Times New Roman"/>
                <w:color w:val="000000"/>
                <w:sz w:val="28"/>
                <w:szCs w:val="28"/>
              </w:rPr>
              <w:t>)</w:t>
            </w:r>
          </w:p>
          <w:p>
            <w:pPr>
              <w:pStyle w:val="Normal"/>
              <w:pBdr/>
              <w:rPr>
                <w:rFonts w:ascii="Times New Roman" w:hAnsi="Times New Roman" w:eastAsia="Times New Roman" w:cs="Times New Roman"/>
                <w:color w:val="000000"/>
              </w:rPr>
            </w:pPr>
            <w:r>
              <w:rPr>
                <w:rFonts w:eastAsia="Times New Roman" w:cs="Times New Roman" w:ascii="Times New Roman" w:hAnsi="Times New Roman"/>
                <w:color w:val="000000"/>
                <w:sz w:val="28"/>
                <w:szCs w:val="28"/>
              </w:rPr>
              <w:t>I.R.C. “Un mondo di bene” AA.VV- Ed. La spiga (</w:t>
            </w:r>
            <w:r>
              <w:rPr>
                <w:rFonts w:eastAsia="Times New Roman" w:cs="Times New Roman" w:ascii="Times New Roman" w:hAnsi="Times New Roman"/>
                <w:color w:val="000000"/>
              </w:rPr>
              <w:t>ISBN 9788846839374)</w:t>
            </w:r>
          </w:p>
          <w:p>
            <w:pPr>
              <w:pStyle w:val="Normal"/>
              <w:pBdr/>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
              <w:pBdr/>
              <w:rPr>
                <w:color w:val="000000"/>
                <w:sz w:val="32"/>
                <w:szCs w:val="32"/>
              </w:rPr>
            </w:pPr>
            <w:r>
              <w:rPr>
                <w:color w:val="000000"/>
                <w:sz w:val="32"/>
                <w:szCs w:val="32"/>
              </w:rPr>
            </w:r>
          </w:p>
        </w:tc>
      </w:tr>
      <w:tr>
        <w:trPr/>
        <w:tc>
          <w:tcPr>
            <w:tcW w:w="9778" w:type="dxa"/>
            <w:tcBorders>
              <w:top w:val="single" w:sz="4" w:space="0" w:color="000000"/>
              <w:left w:val="single" w:sz="4" w:space="0" w:color="000000"/>
              <w:bottom w:val="single" w:sz="4" w:space="0" w:color="000000"/>
              <w:right w:val="single" w:sz="4" w:space="0" w:color="000000"/>
            </w:tcBorders>
            <w:shd w:fill="auto" w:val="clear"/>
          </w:tcPr>
          <w:p>
            <w:pPr>
              <w:pStyle w:val="Normal"/>
              <w:pBdr/>
              <w:rPr>
                <w:rFonts w:ascii="Times New Roman" w:hAnsi="Times New Roman" w:eastAsia="Times New Roman" w:cs="Times New Roman"/>
                <w:color w:val="000000"/>
                <w:sz w:val="32"/>
                <w:szCs w:val="32"/>
              </w:rPr>
            </w:pPr>
            <w:r>
              <w:rPr>
                <w:rFonts w:eastAsia="Times New Roman" w:cs="Times New Roman" w:ascii="Times New Roman" w:hAnsi="Times New Roman"/>
                <w:color w:val="000000"/>
                <w:sz w:val="32"/>
                <w:szCs w:val="32"/>
              </w:rPr>
            </w:r>
          </w:p>
          <w:p>
            <w:pPr>
              <w:pStyle w:val="Normal"/>
              <w:pBdr/>
              <w:rPr>
                <w:rFonts w:ascii="Times New Roman" w:hAnsi="Times New Roman" w:eastAsia="Times New Roman" w:cs="Times New Roman"/>
                <w:color w:val="000000"/>
                <w:sz w:val="28"/>
                <w:szCs w:val="28"/>
              </w:rPr>
            </w:pPr>
            <w:r>
              <w:rPr>
                <w:rFonts w:eastAsia="Times New Roman" w:cs="Times New Roman" w:ascii="Times New Roman" w:hAnsi="Times New Roman"/>
                <w:i/>
                <w:color w:val="000000"/>
                <w:sz w:val="28"/>
                <w:szCs w:val="28"/>
              </w:rPr>
              <w:t xml:space="preserve">Libro delle vacanze consigliato: </w:t>
            </w:r>
          </w:p>
          <w:p>
            <w:pPr>
              <w:pStyle w:val="Normal"/>
              <w:pBdr/>
              <w:rPr>
                <w:rFonts w:ascii="Times New Roman" w:hAnsi="Times New Roman" w:eastAsia="Times New Roman" w:cs="Times New Roman"/>
                <w:i/>
                <w:i/>
                <w:color w:val="000000"/>
                <w:sz w:val="28"/>
                <w:szCs w:val="28"/>
              </w:rPr>
            </w:pPr>
            <w:r>
              <w:rPr>
                <w:rFonts w:eastAsia="Times New Roman" w:cs="Times New Roman" w:ascii="Times New Roman" w:hAnsi="Times New Roman"/>
                <w:i/>
                <w:color w:val="000000"/>
                <w:sz w:val="28"/>
                <w:szCs w:val="28"/>
              </w:rPr>
              <w:t xml:space="preserve">“ </w:t>
            </w:r>
            <w:r>
              <w:rPr>
                <w:rFonts w:eastAsia="Times New Roman" w:cs="Times New Roman" w:ascii="Times New Roman" w:hAnsi="Times New Roman"/>
                <w:i/>
                <w:color w:val="000000"/>
                <w:sz w:val="28"/>
                <w:szCs w:val="28"/>
              </w:rPr>
              <w:t xml:space="preserve">VACANZE TRA LE NUVOLE 3” AA.VV. Ed. LA SPIGA </w:t>
            </w:r>
          </w:p>
          <w:p>
            <w:pPr>
              <w:pStyle w:val="Normal"/>
              <w:pBdr/>
              <w:rPr>
                <w:rFonts w:ascii="Times New Roman" w:hAnsi="Times New Roman" w:eastAsia="Times New Roman" w:cs="Times New Roman"/>
                <w:i/>
                <w:i/>
                <w:sz w:val="28"/>
                <w:szCs w:val="28"/>
              </w:rPr>
            </w:pPr>
            <w:r>
              <w:rPr>
                <w:rFonts w:eastAsia="Times New Roman" w:cs="Times New Roman" w:ascii="Times New Roman" w:hAnsi="Times New Roman"/>
                <w:i/>
                <w:sz w:val="28"/>
                <w:szCs w:val="28"/>
              </w:rPr>
              <w:t>“</w:t>
            </w:r>
            <w:r>
              <w:rPr>
                <w:rFonts w:eastAsia="Times New Roman" w:cs="Times New Roman" w:ascii="Times New Roman" w:hAnsi="Times New Roman"/>
                <w:i/>
                <w:sz w:val="28"/>
                <w:szCs w:val="28"/>
              </w:rPr>
              <w:t>PRIMARY ENGLISH 3” Ed.  RAFFAELLO - CELTIC  ( gli ascolti sono disponibili online su www. raffaellodigitale.it).</w:t>
            </w:r>
          </w:p>
          <w:p>
            <w:pPr>
              <w:pStyle w:val="Normal"/>
              <w:pBdr/>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pBdr/>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tc>
      </w:tr>
    </w:tbl>
    <w:p>
      <w:pPr>
        <w:pStyle w:val="Normal"/>
        <w:pBdr/>
        <w:spacing w:lineRule="auto" w:line="276" w:before="0" w:after="200"/>
        <w:rPr/>
      </w:pPr>
      <w:r>
        <w:rPr/>
      </w:r>
    </w:p>
    <w:sectPr>
      <w:type w:val="nextPage"/>
      <w:pgSz w:w="11906" w:h="16838"/>
      <w:pgMar w:left="1134" w:right="1134" w:header="0" w:top="1417" w:footer="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Georgia">
    <w:charset w:val="00"/>
    <w:family w:val="roman"/>
    <w:pitch w:val="variable"/>
  </w:font>
  <w:font w:name="Arial">
    <w:charset w:val="00"/>
    <w:family w:val="roman"/>
    <w:pitch w:val="variable"/>
  </w:font>
  <w:font w:name="Calibri">
    <w:charset w:val="01"/>
    <w:family w:val="swiss"/>
    <w:pitch w:val="variable"/>
  </w:font>
  <w:font w:name="Courier New">
    <w:charset w:val="01"/>
    <w:family w:val="modern"/>
    <w:pitch w:val="fixed"/>
  </w:font>
  <w:font w:name="Noto Sans Symbol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vertAlign w:val="baseline"/>
        <w:position w:val="0"/>
        <w:sz w:val="28"/>
        <w:sz w:val="28"/>
        <w:rFonts w:cs="Calibri"/>
      </w:rPr>
    </w:lvl>
    <w:lvl w:ilvl="1">
      <w:start w:val="1"/>
      <w:numFmt w:val="bullet"/>
      <w:lvlText w:val="o"/>
      <w:lvlJc w:val="left"/>
      <w:pPr>
        <w:ind w:left="1440" w:hanging="360"/>
      </w:pPr>
      <w:rPr>
        <w:rFonts w:ascii="Courier New" w:hAnsi="Courier New" w:cs="Courier New" w:hint="default"/>
        <w:vertAlign w:val="baseline"/>
        <w:position w:val="0"/>
        <w:sz w:val="20"/>
        <w:rFonts w:cs="Courier New"/>
      </w:rPr>
    </w:lvl>
    <w:lvl w:ilvl="2">
      <w:start w:val="1"/>
      <w:numFmt w:val="bullet"/>
      <w:lvlText w:val="▪"/>
      <w:lvlJc w:val="left"/>
      <w:pPr>
        <w:ind w:left="2160" w:hanging="360"/>
      </w:pPr>
      <w:rPr>
        <w:rFonts w:ascii="Noto Sans Symbols" w:hAnsi="Noto Sans Symbols" w:cs="Noto Sans Symbols" w:hint="default"/>
        <w:vertAlign w:val="baseline"/>
        <w:position w:val="0"/>
        <w:sz w:val="20"/>
        <w:rFonts w:cs="Noto Sans Symbols"/>
      </w:rPr>
    </w:lvl>
    <w:lvl w:ilvl="3">
      <w:start w:val="1"/>
      <w:numFmt w:val="bullet"/>
      <w:lvlText w:val="●"/>
      <w:lvlJc w:val="left"/>
      <w:pPr>
        <w:ind w:left="2880" w:hanging="360"/>
      </w:pPr>
      <w:rPr>
        <w:rFonts w:ascii="Noto Sans Symbols" w:hAnsi="Noto Sans Symbols" w:cs="Noto Sans Symbols" w:hint="default"/>
        <w:vertAlign w:val="baseline"/>
        <w:position w:val="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rFonts w:cs="Noto Sans Symbol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lang w:val="it-IT" w:eastAsia="it-IT" w:bidi="ar-SA"/>
      </w:rPr>
    </w:rPrDefault>
    <w:pPrDefault>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pPr>
      <w:widowControl/>
      <w:bidi w:val="0"/>
      <w:jc w:val="left"/>
    </w:pPr>
    <w:rPr>
      <w:rFonts w:ascii="Calibri" w:hAnsi="Calibri" w:eastAsia="Calibri" w:cs="Calibri"/>
      <w:color w:val="auto"/>
      <w:kern w:val="0"/>
      <w:sz w:val="20"/>
      <w:szCs w:val="20"/>
      <w:lang w:val="it-IT" w:eastAsia="it-IT" w:bidi="ar-SA"/>
    </w:rPr>
  </w:style>
  <w:style w:type="paragraph" w:styleId="Titolo1">
    <w:name w:val="Heading 1"/>
    <w:basedOn w:val="Normal"/>
    <w:next w:val="Normal"/>
    <w:uiPriority w:val="9"/>
    <w:qFormat/>
    <w:pPr>
      <w:keepNext w:val="true"/>
      <w:keepLines/>
      <w:spacing w:before="480" w:after="120"/>
      <w:outlineLvl w:val="0"/>
    </w:pPr>
    <w:rPr>
      <w:b/>
      <w:sz w:val="48"/>
      <w:szCs w:val="48"/>
    </w:rPr>
  </w:style>
  <w:style w:type="paragraph" w:styleId="Titolo2">
    <w:name w:val="Heading 2"/>
    <w:basedOn w:val="Normal"/>
    <w:next w:val="Normal"/>
    <w:uiPriority w:val="9"/>
    <w:semiHidden/>
    <w:unhideWhenUsed/>
    <w:qFormat/>
    <w:pPr>
      <w:keepNext w:val="true"/>
      <w:keepLines/>
      <w:spacing w:before="360" w:after="80"/>
      <w:outlineLvl w:val="1"/>
    </w:pPr>
    <w:rPr>
      <w:b/>
      <w:sz w:val="36"/>
      <w:szCs w:val="36"/>
    </w:rPr>
  </w:style>
  <w:style w:type="paragraph" w:styleId="Titolo3">
    <w:name w:val="Heading 3"/>
    <w:basedOn w:val="Normal"/>
    <w:next w:val="Normal"/>
    <w:uiPriority w:val="9"/>
    <w:semiHidden/>
    <w:unhideWhenUsed/>
    <w:qFormat/>
    <w:pPr>
      <w:keepNext w:val="true"/>
      <w:keepLines/>
      <w:spacing w:before="280" w:after="80"/>
      <w:outlineLvl w:val="2"/>
    </w:pPr>
    <w:rPr>
      <w:b/>
      <w:sz w:val="28"/>
      <w:szCs w:val="28"/>
    </w:rPr>
  </w:style>
  <w:style w:type="paragraph" w:styleId="Titolo4">
    <w:name w:val="Heading 4"/>
    <w:basedOn w:val="Normal"/>
    <w:next w:val="Normal"/>
    <w:uiPriority w:val="9"/>
    <w:semiHidden/>
    <w:unhideWhenUsed/>
    <w:qFormat/>
    <w:pPr>
      <w:keepNext w:val="true"/>
      <w:keepLines/>
      <w:spacing w:before="240" w:after="40"/>
      <w:outlineLvl w:val="3"/>
    </w:pPr>
    <w:rPr>
      <w:b/>
      <w:sz w:val="24"/>
      <w:szCs w:val="24"/>
    </w:rPr>
  </w:style>
  <w:style w:type="paragraph" w:styleId="Titolo5">
    <w:name w:val="Heading 5"/>
    <w:basedOn w:val="Normal"/>
    <w:next w:val="Normal"/>
    <w:uiPriority w:val="9"/>
    <w:semiHidden/>
    <w:unhideWhenUsed/>
    <w:qFormat/>
    <w:pPr>
      <w:keepNext w:val="true"/>
      <w:keepLines/>
      <w:spacing w:before="220" w:after="40"/>
      <w:outlineLvl w:val="4"/>
    </w:pPr>
    <w:rPr>
      <w:b/>
      <w:sz w:val="22"/>
      <w:szCs w:val="22"/>
    </w:rPr>
  </w:style>
  <w:style w:type="paragraph" w:styleId="Titolo6">
    <w:name w:val="Heading 6"/>
    <w:basedOn w:val="Normal"/>
    <w:next w:val="Normal"/>
    <w:uiPriority w:val="9"/>
    <w:semiHidden/>
    <w:unhideWhenUsed/>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next w:val="Normal"/>
    <w:uiPriority w:val="10"/>
    <w:qFormat/>
    <w:pPr>
      <w:keepNext w:val="true"/>
      <w:keepLines/>
      <w:spacing w:before="480" w:after="120"/>
    </w:pPr>
    <w:rPr>
      <w:b/>
      <w:sz w:val="72"/>
      <w:szCs w:val="72"/>
    </w:rPr>
  </w:style>
  <w:style w:type="paragraph" w:styleId="Sottotitolo">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LibreOffice/6.3.1.2$Windows_X86_64 LibreOffice_project/b79626edf0065ac373bd1df5c28bd630b4424273</Application>
  <Pages>2</Pages>
  <Words>284</Words>
  <Characters>1571</Characters>
  <CharactersWithSpaces>1840</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2020-06-27T10:13:00Z</dcterms:created>
  <dc:creator>Barbara</dc:creator>
  <dc:description/>
  <dc:language>it-IT</dc:language>
  <cp:lastModifiedBy>casa</cp:lastModifiedBy>
  <dcterms:modified xsi:type="dcterms:W3CDTF">2020-06-27T10:16:00Z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